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712ED" w14:textId="77777777" w:rsidR="00327D24" w:rsidRDefault="00327D24" w:rsidP="00327D24">
      <w:pPr>
        <w:spacing w:after="0" w:line="240" w:lineRule="auto"/>
        <w:jc w:val="both"/>
        <w:rPr>
          <w:rFonts w:ascii="Arial" w:hAnsi="Arial" w:cs="Arial"/>
          <w:b/>
          <w:sz w:val="20"/>
          <w:szCs w:val="20"/>
        </w:rPr>
      </w:pPr>
      <w:r w:rsidRPr="00245D2C">
        <w:rPr>
          <w:rFonts w:ascii="Arial" w:hAnsi="Arial" w:cs="Arial"/>
          <w:b/>
          <w:sz w:val="20"/>
          <w:szCs w:val="20"/>
        </w:rPr>
        <w:t>TALLER DE PLAN DE M</w:t>
      </w:r>
      <w:r>
        <w:rPr>
          <w:rFonts w:ascii="Arial" w:hAnsi="Arial" w:cs="Arial"/>
          <w:b/>
          <w:sz w:val="20"/>
          <w:szCs w:val="20"/>
        </w:rPr>
        <w:t xml:space="preserve">EJORAMIENTO ACADÉMICO </w:t>
      </w:r>
    </w:p>
    <w:p w14:paraId="39BDD4E8" w14:textId="19872433" w:rsidR="00327D24" w:rsidRPr="00245D2C" w:rsidRDefault="00327D24" w:rsidP="00327D24">
      <w:pPr>
        <w:spacing w:after="0" w:line="240" w:lineRule="auto"/>
        <w:jc w:val="both"/>
        <w:rPr>
          <w:rFonts w:ascii="Arial" w:hAnsi="Arial" w:cs="Arial"/>
          <w:sz w:val="20"/>
          <w:szCs w:val="20"/>
        </w:rPr>
      </w:pPr>
      <w:r>
        <w:rPr>
          <w:rFonts w:ascii="Arial" w:hAnsi="Arial" w:cs="Arial"/>
          <w:b/>
          <w:sz w:val="20"/>
          <w:szCs w:val="20"/>
        </w:rPr>
        <w:t>PERIODO: DOS</w:t>
      </w:r>
      <w:r>
        <w:rPr>
          <w:rFonts w:ascii="Arial" w:hAnsi="Arial" w:cs="Arial"/>
          <w:sz w:val="20"/>
          <w:szCs w:val="20"/>
        </w:rPr>
        <w:t xml:space="preserve">               </w:t>
      </w:r>
      <w:r>
        <w:rPr>
          <w:rFonts w:ascii="Arial" w:hAnsi="Arial" w:cs="Arial"/>
          <w:b/>
          <w:sz w:val="20"/>
          <w:szCs w:val="20"/>
        </w:rPr>
        <w:t>GRAD 9</w:t>
      </w:r>
      <w:r w:rsidRPr="00245D2C">
        <w:rPr>
          <w:rFonts w:ascii="Arial" w:hAnsi="Arial" w:cs="Arial"/>
          <w:b/>
          <w:sz w:val="20"/>
          <w:szCs w:val="20"/>
        </w:rPr>
        <w:t>°</w:t>
      </w:r>
    </w:p>
    <w:p w14:paraId="429D94B5" w14:textId="2899D753" w:rsidR="00327D24" w:rsidRPr="00245D2C" w:rsidRDefault="00327D24" w:rsidP="00327D24">
      <w:pPr>
        <w:spacing w:after="0" w:line="240" w:lineRule="auto"/>
        <w:jc w:val="both"/>
        <w:rPr>
          <w:rFonts w:ascii="Arial" w:hAnsi="Arial" w:cs="Arial"/>
          <w:b/>
          <w:sz w:val="20"/>
          <w:szCs w:val="20"/>
        </w:rPr>
      </w:pPr>
      <w:r>
        <w:rPr>
          <w:rFonts w:ascii="Arial" w:hAnsi="Arial" w:cs="Arial"/>
          <w:b/>
          <w:sz w:val="20"/>
          <w:szCs w:val="20"/>
        </w:rPr>
        <w:t>ASIGNATURA: QUÍMICA</w:t>
      </w:r>
      <w:r w:rsidRPr="00245D2C">
        <w:rPr>
          <w:rFonts w:ascii="Arial" w:hAnsi="Arial" w:cs="Arial"/>
          <w:sz w:val="20"/>
          <w:szCs w:val="20"/>
        </w:rPr>
        <w:t xml:space="preserve"> </w:t>
      </w:r>
      <w:r w:rsidRPr="00245D2C">
        <w:rPr>
          <w:rFonts w:ascii="Arial" w:hAnsi="Arial" w:cs="Arial"/>
          <w:b/>
          <w:sz w:val="20"/>
          <w:szCs w:val="20"/>
        </w:rPr>
        <w:t xml:space="preserve">                       PROFESOR: Marleysi Córdoba Lloreda</w:t>
      </w:r>
    </w:p>
    <w:p w14:paraId="325EC816" w14:textId="708485B3" w:rsidR="00327D24" w:rsidRDefault="00327D24" w:rsidP="00327D24">
      <w:pPr>
        <w:jc w:val="both"/>
      </w:pPr>
      <w:r>
        <w:t xml:space="preserve">LOGROS </w:t>
      </w:r>
    </w:p>
    <w:p w14:paraId="270A27AE" w14:textId="7A389476" w:rsidR="00327D24" w:rsidRDefault="00327D24" w:rsidP="00327D24">
      <w:pPr>
        <w:jc w:val="both"/>
        <w:rPr>
          <w:rFonts w:ascii="Arial" w:hAnsi="Arial" w:cs="Arial"/>
          <w:color w:val="000000"/>
          <w:sz w:val="18"/>
          <w:szCs w:val="18"/>
        </w:rPr>
      </w:pPr>
      <w:r>
        <w:rPr>
          <w:rFonts w:ascii="Arial" w:hAnsi="Arial" w:cs="Arial"/>
          <w:color w:val="000000"/>
          <w:sz w:val="18"/>
          <w:szCs w:val="18"/>
        </w:rPr>
        <w:t>- Conoce las fuerzas intramoleculares, para explicar la formación de compuestos iónicos y covalentes, a partir de criterios como la electronegatividad y las relaciones entre los electrones de valencia.</w:t>
      </w:r>
    </w:p>
    <w:p w14:paraId="67A461AF" w14:textId="482ECBF8" w:rsidR="00327D24" w:rsidRDefault="00327D24" w:rsidP="00327D24">
      <w:pPr>
        <w:jc w:val="both"/>
      </w:pPr>
      <w:r>
        <w:rPr>
          <w:rFonts w:ascii="Arial" w:hAnsi="Arial" w:cs="Arial"/>
          <w:color w:val="000000"/>
          <w:sz w:val="18"/>
          <w:szCs w:val="18"/>
        </w:rPr>
        <w:t>-</w:t>
      </w:r>
      <w:r w:rsidRPr="00327D24">
        <w:rPr>
          <w:rFonts w:ascii="Arial" w:hAnsi="Arial" w:cs="Arial"/>
          <w:color w:val="000000"/>
          <w:sz w:val="18"/>
          <w:szCs w:val="18"/>
        </w:rPr>
        <w:t xml:space="preserve"> </w:t>
      </w:r>
      <w:r>
        <w:rPr>
          <w:rFonts w:ascii="Arial" w:hAnsi="Arial" w:cs="Arial"/>
          <w:color w:val="000000"/>
          <w:sz w:val="18"/>
          <w:szCs w:val="18"/>
        </w:rPr>
        <w:t>Explica a través de las fuerzas intermoleculares (puentes de hidrogeno, fuerzas de Van der Waals) propiedades físicas (solubilidad, la densidad, el punto de ebullición y fusión y la tensión superficial) de sustancias liquidas</w:t>
      </w:r>
    </w:p>
    <w:p w14:paraId="5578846A" w14:textId="5257A36B" w:rsidR="00BB4C5A" w:rsidRPr="00CF60DE" w:rsidRDefault="00BB4C5A"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1. Realiza la geometría molecular, el tipo de enlace químico y tipo de fuerza intermolecular interviene para cada una de las siguientes sustancias, con el respectivo ángulo</w:t>
      </w:r>
    </w:p>
    <w:p w14:paraId="0B7CB9B7" w14:textId="7CEA0F83" w:rsidR="00BB4C5A" w:rsidRPr="00CF60DE" w:rsidRDefault="00BB4C5A"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a. Mg H</w:t>
      </w:r>
      <w:r w:rsidRPr="00CF60DE">
        <w:rPr>
          <w:rFonts w:ascii="Arial" w:hAnsi="Arial" w:cs="Arial"/>
          <w:color w:val="000000" w:themeColor="text1"/>
          <w:sz w:val="20"/>
          <w:szCs w:val="20"/>
          <w:vertAlign w:val="subscript"/>
        </w:rPr>
        <w:t xml:space="preserve">2    </w:t>
      </w:r>
      <w:r w:rsidRPr="00CF60DE">
        <w:rPr>
          <w:rFonts w:ascii="Arial" w:hAnsi="Arial" w:cs="Arial"/>
          <w:color w:val="000000" w:themeColor="text1"/>
          <w:sz w:val="20"/>
          <w:szCs w:val="20"/>
        </w:rPr>
        <w:t>b. N</w:t>
      </w:r>
      <w:r w:rsidRPr="00CF60DE">
        <w:rPr>
          <w:rFonts w:ascii="Arial" w:hAnsi="Arial" w:cs="Arial"/>
          <w:color w:val="000000" w:themeColor="text1"/>
          <w:sz w:val="20"/>
          <w:szCs w:val="20"/>
          <w:vertAlign w:val="subscript"/>
        </w:rPr>
        <w:t xml:space="preserve">2 </w:t>
      </w:r>
      <w:r w:rsidRPr="00CF60DE">
        <w:rPr>
          <w:rFonts w:ascii="Arial" w:hAnsi="Arial" w:cs="Arial"/>
          <w:color w:val="000000" w:themeColor="text1"/>
          <w:sz w:val="20"/>
          <w:szCs w:val="20"/>
        </w:rPr>
        <w:t xml:space="preserve">  c. N</w:t>
      </w:r>
      <w:r w:rsidRPr="00CF60DE">
        <w:rPr>
          <w:rFonts w:ascii="Arial" w:hAnsi="Arial" w:cs="Arial"/>
          <w:color w:val="000000" w:themeColor="text1"/>
          <w:sz w:val="20"/>
          <w:szCs w:val="20"/>
          <w:vertAlign w:val="subscript"/>
        </w:rPr>
        <w:t>2</w:t>
      </w:r>
      <w:r w:rsidRPr="00CF60DE">
        <w:rPr>
          <w:rFonts w:ascii="Arial" w:hAnsi="Arial" w:cs="Arial"/>
          <w:color w:val="000000" w:themeColor="text1"/>
          <w:sz w:val="20"/>
          <w:szCs w:val="20"/>
        </w:rPr>
        <w:t>O</w:t>
      </w:r>
      <w:r w:rsidRPr="00CF60DE">
        <w:rPr>
          <w:rFonts w:ascii="Arial" w:hAnsi="Arial" w:cs="Arial"/>
          <w:color w:val="000000" w:themeColor="text1"/>
          <w:sz w:val="20"/>
          <w:szCs w:val="20"/>
          <w:vertAlign w:val="subscript"/>
        </w:rPr>
        <w:t>5</w:t>
      </w:r>
      <w:r w:rsidRPr="00CF60DE">
        <w:rPr>
          <w:rFonts w:ascii="Arial" w:hAnsi="Arial" w:cs="Arial"/>
          <w:color w:val="000000" w:themeColor="text1"/>
          <w:sz w:val="20"/>
          <w:szCs w:val="20"/>
        </w:rPr>
        <w:t xml:space="preserve">   d. O</w:t>
      </w:r>
      <w:r w:rsidRPr="00CF60DE">
        <w:rPr>
          <w:rFonts w:ascii="Arial" w:hAnsi="Arial" w:cs="Arial"/>
          <w:color w:val="000000" w:themeColor="text1"/>
          <w:sz w:val="20"/>
          <w:szCs w:val="20"/>
          <w:vertAlign w:val="subscript"/>
        </w:rPr>
        <w:t xml:space="preserve">2   </w:t>
      </w:r>
      <w:r w:rsidRPr="00CF60DE">
        <w:rPr>
          <w:rFonts w:ascii="Arial" w:hAnsi="Arial" w:cs="Arial"/>
          <w:color w:val="000000" w:themeColor="text1"/>
          <w:sz w:val="20"/>
          <w:szCs w:val="20"/>
        </w:rPr>
        <w:t>e. CH</w:t>
      </w:r>
      <w:r w:rsidRPr="00CF60DE">
        <w:rPr>
          <w:rFonts w:ascii="Arial" w:hAnsi="Arial" w:cs="Arial"/>
          <w:color w:val="000000" w:themeColor="text1"/>
          <w:sz w:val="20"/>
          <w:szCs w:val="20"/>
          <w:vertAlign w:val="subscript"/>
        </w:rPr>
        <w:t xml:space="preserve">4   </w:t>
      </w:r>
      <w:r w:rsidRPr="00CF60DE">
        <w:rPr>
          <w:rFonts w:ascii="Arial" w:hAnsi="Arial" w:cs="Arial"/>
          <w:color w:val="000000" w:themeColor="text1"/>
          <w:sz w:val="20"/>
          <w:szCs w:val="20"/>
        </w:rPr>
        <w:t>f. NiCO</w:t>
      </w:r>
      <w:proofErr w:type="gramStart"/>
      <w:r w:rsidRPr="00CF60DE">
        <w:rPr>
          <w:rFonts w:ascii="Arial" w:hAnsi="Arial" w:cs="Arial"/>
          <w:color w:val="000000" w:themeColor="text1"/>
          <w:sz w:val="20"/>
          <w:szCs w:val="20"/>
          <w:vertAlign w:val="subscript"/>
        </w:rPr>
        <w:t>3</w:t>
      </w:r>
      <w:r w:rsidRPr="00CF60DE">
        <w:rPr>
          <w:rFonts w:ascii="Arial" w:hAnsi="Arial" w:cs="Arial"/>
          <w:color w:val="000000" w:themeColor="text1"/>
          <w:sz w:val="20"/>
          <w:szCs w:val="20"/>
        </w:rPr>
        <w:t xml:space="preserve">  g.</w:t>
      </w:r>
      <w:proofErr w:type="gramEnd"/>
      <w:r w:rsidRPr="00CF60DE">
        <w:rPr>
          <w:rFonts w:ascii="Arial" w:hAnsi="Arial" w:cs="Arial"/>
          <w:color w:val="000000" w:themeColor="text1"/>
          <w:sz w:val="20"/>
          <w:szCs w:val="20"/>
        </w:rPr>
        <w:t xml:space="preserve"> </w:t>
      </w:r>
      <w:proofErr w:type="spellStart"/>
      <w:r w:rsidRPr="00CF60DE">
        <w:rPr>
          <w:rFonts w:ascii="Arial" w:hAnsi="Arial" w:cs="Arial"/>
          <w:color w:val="000000" w:themeColor="text1"/>
          <w:sz w:val="20"/>
          <w:szCs w:val="20"/>
        </w:rPr>
        <w:t>LiCl</w:t>
      </w:r>
      <w:proofErr w:type="spellEnd"/>
      <w:r w:rsidRPr="00CF60DE">
        <w:rPr>
          <w:rFonts w:ascii="Arial" w:hAnsi="Arial" w:cs="Arial"/>
          <w:color w:val="000000" w:themeColor="text1"/>
          <w:sz w:val="20"/>
          <w:szCs w:val="20"/>
        </w:rPr>
        <w:t xml:space="preserve">     </w:t>
      </w:r>
    </w:p>
    <w:p w14:paraId="4AED67D6" w14:textId="77777777" w:rsidR="00BB4C5A" w:rsidRPr="00CF60DE" w:rsidRDefault="00BB4C5A"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2. Escribe los electrones de valencia de los siguientes elementos: Ra, Pb, N, Li, Al</w:t>
      </w:r>
    </w:p>
    <w:p w14:paraId="10B56C17" w14:textId="77777777" w:rsidR="00BB4C5A" w:rsidRPr="00CF60DE" w:rsidRDefault="00BB4C5A"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3. Realiza un cuadro comparativo de los tipos de fuerzas intermoleculares, teniendo claro sus características.</w:t>
      </w:r>
    </w:p>
    <w:p w14:paraId="1B005EB0" w14:textId="77777777" w:rsidR="00BB4C5A" w:rsidRPr="00CF60DE" w:rsidRDefault="00BB4C5A"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4. Completa la tabla</w:t>
      </w:r>
    </w:p>
    <w:tbl>
      <w:tblPr>
        <w:tblStyle w:val="Tablaconcuadrcula"/>
        <w:tblW w:w="0" w:type="auto"/>
        <w:tblLayout w:type="fixed"/>
        <w:tblLook w:val="04A0" w:firstRow="1" w:lastRow="0" w:firstColumn="1" w:lastColumn="0" w:noHBand="0" w:noVBand="1"/>
      </w:tblPr>
      <w:tblGrid>
        <w:gridCol w:w="2263"/>
        <w:gridCol w:w="1276"/>
      </w:tblGrid>
      <w:tr w:rsidR="00CF60DE" w:rsidRPr="00CF60DE" w14:paraId="3DA76452" w14:textId="77777777">
        <w:tc>
          <w:tcPr>
            <w:tcW w:w="2263" w:type="dxa"/>
            <w:tcBorders>
              <w:top w:val="single" w:sz="4" w:space="0" w:color="auto"/>
              <w:left w:val="single" w:sz="4" w:space="0" w:color="auto"/>
              <w:bottom w:val="single" w:sz="4" w:space="0" w:color="auto"/>
              <w:right w:val="single" w:sz="4" w:space="0" w:color="auto"/>
            </w:tcBorders>
            <w:hideMark/>
          </w:tcPr>
          <w:p w14:paraId="783D3F7B" w14:textId="77777777" w:rsidR="00BB4C5A" w:rsidRPr="00CF60DE" w:rsidRDefault="00BB4C5A" w:rsidP="00CF60DE">
            <w:pPr>
              <w:jc w:val="both"/>
              <w:rPr>
                <w:rFonts w:ascii="Arial" w:hAnsi="Arial" w:cs="Arial"/>
                <w:color w:val="000000" w:themeColor="text1"/>
                <w:sz w:val="20"/>
                <w:szCs w:val="20"/>
              </w:rPr>
            </w:pPr>
            <w:r w:rsidRPr="00CF60DE">
              <w:rPr>
                <w:rFonts w:ascii="Arial" w:hAnsi="Arial" w:cs="Arial"/>
                <w:color w:val="000000" w:themeColor="text1"/>
                <w:sz w:val="20"/>
                <w:szCs w:val="20"/>
              </w:rPr>
              <w:t xml:space="preserve">Sustancia </w:t>
            </w:r>
          </w:p>
        </w:tc>
        <w:tc>
          <w:tcPr>
            <w:tcW w:w="1276" w:type="dxa"/>
            <w:tcBorders>
              <w:top w:val="single" w:sz="4" w:space="0" w:color="auto"/>
              <w:left w:val="single" w:sz="4" w:space="0" w:color="auto"/>
              <w:bottom w:val="single" w:sz="4" w:space="0" w:color="auto"/>
              <w:right w:val="single" w:sz="4" w:space="0" w:color="auto"/>
            </w:tcBorders>
            <w:hideMark/>
          </w:tcPr>
          <w:p w14:paraId="60B93EB4" w14:textId="77777777" w:rsidR="00BB4C5A" w:rsidRPr="00CF60DE" w:rsidRDefault="00BB4C5A" w:rsidP="00CF60DE">
            <w:pPr>
              <w:jc w:val="both"/>
              <w:rPr>
                <w:rFonts w:ascii="Arial" w:hAnsi="Arial" w:cs="Arial"/>
                <w:color w:val="000000" w:themeColor="text1"/>
                <w:sz w:val="20"/>
                <w:szCs w:val="20"/>
              </w:rPr>
            </w:pPr>
            <w:r w:rsidRPr="00CF60DE">
              <w:rPr>
                <w:rFonts w:ascii="Arial" w:hAnsi="Arial" w:cs="Arial"/>
                <w:color w:val="000000" w:themeColor="text1"/>
                <w:sz w:val="20"/>
                <w:szCs w:val="20"/>
              </w:rPr>
              <w:t xml:space="preserve">Electrones </w:t>
            </w:r>
          </w:p>
        </w:tc>
      </w:tr>
      <w:tr w:rsidR="00CF60DE" w:rsidRPr="00CF60DE" w14:paraId="7FE76FC2" w14:textId="77777777">
        <w:tc>
          <w:tcPr>
            <w:tcW w:w="2263" w:type="dxa"/>
            <w:tcBorders>
              <w:top w:val="single" w:sz="4" w:space="0" w:color="auto"/>
              <w:left w:val="single" w:sz="4" w:space="0" w:color="auto"/>
              <w:bottom w:val="single" w:sz="4" w:space="0" w:color="auto"/>
              <w:right w:val="single" w:sz="4" w:space="0" w:color="auto"/>
            </w:tcBorders>
            <w:hideMark/>
          </w:tcPr>
          <w:p w14:paraId="59C06AF7" w14:textId="77777777" w:rsidR="00BB4C5A" w:rsidRPr="00CF60DE" w:rsidRDefault="00BB4C5A" w:rsidP="00CF60DE">
            <w:pPr>
              <w:jc w:val="both"/>
              <w:rPr>
                <w:rFonts w:ascii="Arial" w:hAnsi="Arial" w:cs="Arial"/>
                <w:color w:val="000000" w:themeColor="text1"/>
                <w:sz w:val="20"/>
                <w:szCs w:val="20"/>
                <w:vertAlign w:val="superscript"/>
              </w:rPr>
            </w:pPr>
            <w:r w:rsidRPr="00CF60DE">
              <w:rPr>
                <w:rFonts w:ascii="Arial" w:hAnsi="Arial" w:cs="Arial"/>
                <w:color w:val="000000" w:themeColor="text1"/>
                <w:sz w:val="20"/>
                <w:szCs w:val="20"/>
              </w:rPr>
              <w:t>Cl</w:t>
            </w:r>
            <w:r w:rsidRPr="00CF60DE">
              <w:rPr>
                <w:rFonts w:ascii="Arial" w:hAnsi="Arial" w:cs="Arial"/>
                <w:color w:val="000000" w:themeColor="text1"/>
                <w:sz w:val="20"/>
                <w:szCs w:val="20"/>
                <w:vertAlign w:val="superscript"/>
              </w:rPr>
              <w:t>-2</w:t>
            </w:r>
          </w:p>
        </w:tc>
        <w:tc>
          <w:tcPr>
            <w:tcW w:w="1276" w:type="dxa"/>
            <w:tcBorders>
              <w:top w:val="single" w:sz="4" w:space="0" w:color="auto"/>
              <w:left w:val="single" w:sz="4" w:space="0" w:color="auto"/>
              <w:bottom w:val="single" w:sz="4" w:space="0" w:color="auto"/>
              <w:right w:val="single" w:sz="4" w:space="0" w:color="auto"/>
            </w:tcBorders>
          </w:tcPr>
          <w:p w14:paraId="45D46304" w14:textId="77777777" w:rsidR="00BB4C5A" w:rsidRPr="00CF60DE" w:rsidRDefault="00BB4C5A" w:rsidP="00CF60DE">
            <w:pPr>
              <w:jc w:val="both"/>
              <w:rPr>
                <w:rFonts w:ascii="Arial" w:hAnsi="Arial" w:cs="Arial"/>
                <w:color w:val="000000" w:themeColor="text1"/>
                <w:sz w:val="20"/>
                <w:szCs w:val="20"/>
              </w:rPr>
            </w:pPr>
          </w:p>
        </w:tc>
      </w:tr>
      <w:tr w:rsidR="00CF60DE" w:rsidRPr="00CF60DE" w14:paraId="3153A5D0" w14:textId="77777777">
        <w:tc>
          <w:tcPr>
            <w:tcW w:w="2263" w:type="dxa"/>
            <w:tcBorders>
              <w:top w:val="single" w:sz="4" w:space="0" w:color="auto"/>
              <w:left w:val="single" w:sz="4" w:space="0" w:color="auto"/>
              <w:bottom w:val="single" w:sz="4" w:space="0" w:color="auto"/>
              <w:right w:val="single" w:sz="4" w:space="0" w:color="auto"/>
            </w:tcBorders>
            <w:hideMark/>
          </w:tcPr>
          <w:p w14:paraId="6CB7677A" w14:textId="77777777" w:rsidR="00BB4C5A" w:rsidRPr="00CF60DE" w:rsidRDefault="00BB4C5A" w:rsidP="00CF60DE">
            <w:pPr>
              <w:jc w:val="both"/>
              <w:rPr>
                <w:rFonts w:ascii="Arial" w:hAnsi="Arial" w:cs="Arial"/>
                <w:color w:val="000000" w:themeColor="text1"/>
                <w:sz w:val="20"/>
                <w:szCs w:val="20"/>
                <w:vertAlign w:val="superscript"/>
              </w:rPr>
            </w:pPr>
            <w:r w:rsidRPr="00CF60DE">
              <w:rPr>
                <w:rFonts w:ascii="Arial" w:hAnsi="Arial" w:cs="Arial"/>
                <w:color w:val="000000" w:themeColor="text1"/>
                <w:sz w:val="20"/>
                <w:szCs w:val="20"/>
              </w:rPr>
              <w:t>Ga</w:t>
            </w:r>
            <w:r w:rsidRPr="00CF60DE">
              <w:rPr>
                <w:rFonts w:ascii="Arial" w:hAnsi="Arial" w:cs="Arial"/>
                <w:color w:val="000000" w:themeColor="text1"/>
                <w:sz w:val="20"/>
                <w:szCs w:val="20"/>
                <w:vertAlign w:val="superscript"/>
              </w:rPr>
              <w:t>+3</w:t>
            </w:r>
          </w:p>
        </w:tc>
        <w:tc>
          <w:tcPr>
            <w:tcW w:w="1276" w:type="dxa"/>
            <w:tcBorders>
              <w:top w:val="single" w:sz="4" w:space="0" w:color="auto"/>
              <w:left w:val="single" w:sz="4" w:space="0" w:color="auto"/>
              <w:bottom w:val="single" w:sz="4" w:space="0" w:color="auto"/>
              <w:right w:val="single" w:sz="4" w:space="0" w:color="auto"/>
            </w:tcBorders>
          </w:tcPr>
          <w:p w14:paraId="530992DA" w14:textId="77777777" w:rsidR="00BB4C5A" w:rsidRPr="00CF60DE" w:rsidRDefault="00BB4C5A" w:rsidP="00CF60DE">
            <w:pPr>
              <w:jc w:val="both"/>
              <w:rPr>
                <w:rFonts w:ascii="Arial" w:hAnsi="Arial" w:cs="Arial"/>
                <w:color w:val="000000" w:themeColor="text1"/>
                <w:sz w:val="20"/>
                <w:szCs w:val="20"/>
              </w:rPr>
            </w:pPr>
          </w:p>
        </w:tc>
      </w:tr>
      <w:tr w:rsidR="00CF60DE" w:rsidRPr="00CF60DE" w14:paraId="4F984C7E" w14:textId="77777777">
        <w:tc>
          <w:tcPr>
            <w:tcW w:w="2263" w:type="dxa"/>
            <w:tcBorders>
              <w:top w:val="single" w:sz="4" w:space="0" w:color="auto"/>
              <w:left w:val="single" w:sz="4" w:space="0" w:color="auto"/>
              <w:bottom w:val="single" w:sz="4" w:space="0" w:color="auto"/>
              <w:right w:val="single" w:sz="4" w:space="0" w:color="auto"/>
            </w:tcBorders>
            <w:hideMark/>
          </w:tcPr>
          <w:p w14:paraId="710CF6A0" w14:textId="77777777" w:rsidR="00BB4C5A" w:rsidRPr="00CF60DE" w:rsidRDefault="00BB4C5A" w:rsidP="00CF60DE">
            <w:pPr>
              <w:jc w:val="both"/>
              <w:rPr>
                <w:rFonts w:ascii="Arial" w:hAnsi="Arial" w:cs="Arial"/>
                <w:color w:val="000000" w:themeColor="text1"/>
                <w:sz w:val="20"/>
                <w:szCs w:val="20"/>
                <w:vertAlign w:val="superscript"/>
              </w:rPr>
            </w:pPr>
            <w:r w:rsidRPr="00CF60DE">
              <w:rPr>
                <w:rFonts w:ascii="Arial" w:hAnsi="Arial" w:cs="Arial"/>
                <w:color w:val="000000" w:themeColor="text1"/>
                <w:sz w:val="20"/>
                <w:szCs w:val="20"/>
              </w:rPr>
              <w:t>Na</w:t>
            </w:r>
            <w:r w:rsidRPr="00CF60DE">
              <w:rPr>
                <w:rFonts w:ascii="Arial" w:hAnsi="Arial" w:cs="Arial"/>
                <w:color w:val="000000" w:themeColor="text1"/>
                <w:sz w:val="20"/>
                <w:szCs w:val="20"/>
                <w:vertAlign w:val="superscript"/>
              </w:rPr>
              <w:t>+1</w:t>
            </w:r>
          </w:p>
        </w:tc>
        <w:tc>
          <w:tcPr>
            <w:tcW w:w="1276" w:type="dxa"/>
            <w:tcBorders>
              <w:top w:val="single" w:sz="4" w:space="0" w:color="auto"/>
              <w:left w:val="single" w:sz="4" w:space="0" w:color="auto"/>
              <w:bottom w:val="single" w:sz="4" w:space="0" w:color="auto"/>
              <w:right w:val="single" w:sz="4" w:space="0" w:color="auto"/>
            </w:tcBorders>
          </w:tcPr>
          <w:p w14:paraId="195E3EB4" w14:textId="77777777" w:rsidR="00BB4C5A" w:rsidRPr="00CF60DE" w:rsidRDefault="00BB4C5A" w:rsidP="00CF60DE">
            <w:pPr>
              <w:jc w:val="both"/>
              <w:rPr>
                <w:rFonts w:ascii="Arial" w:hAnsi="Arial" w:cs="Arial"/>
                <w:color w:val="000000" w:themeColor="text1"/>
                <w:sz w:val="20"/>
                <w:szCs w:val="20"/>
              </w:rPr>
            </w:pPr>
          </w:p>
        </w:tc>
      </w:tr>
      <w:tr w:rsidR="00CF60DE" w:rsidRPr="00CF60DE" w14:paraId="08D0CF49" w14:textId="77777777">
        <w:tc>
          <w:tcPr>
            <w:tcW w:w="2263" w:type="dxa"/>
            <w:tcBorders>
              <w:top w:val="single" w:sz="4" w:space="0" w:color="auto"/>
              <w:left w:val="single" w:sz="4" w:space="0" w:color="auto"/>
              <w:bottom w:val="single" w:sz="4" w:space="0" w:color="auto"/>
              <w:right w:val="single" w:sz="4" w:space="0" w:color="auto"/>
            </w:tcBorders>
            <w:hideMark/>
          </w:tcPr>
          <w:p w14:paraId="20BB5418" w14:textId="77777777" w:rsidR="00BB4C5A" w:rsidRPr="00CF60DE" w:rsidRDefault="00BB4C5A" w:rsidP="00CF60DE">
            <w:pPr>
              <w:jc w:val="both"/>
              <w:rPr>
                <w:rFonts w:ascii="Arial" w:hAnsi="Arial" w:cs="Arial"/>
                <w:color w:val="000000" w:themeColor="text1"/>
                <w:sz w:val="20"/>
                <w:szCs w:val="20"/>
                <w:vertAlign w:val="superscript"/>
              </w:rPr>
            </w:pPr>
            <w:r w:rsidRPr="00CF60DE">
              <w:rPr>
                <w:rFonts w:ascii="Arial" w:hAnsi="Arial" w:cs="Arial"/>
                <w:color w:val="000000" w:themeColor="text1"/>
                <w:sz w:val="20"/>
                <w:szCs w:val="20"/>
              </w:rPr>
              <w:t>J</w:t>
            </w:r>
            <w:r w:rsidRPr="00CF60DE">
              <w:rPr>
                <w:rFonts w:ascii="Arial" w:hAnsi="Arial" w:cs="Arial"/>
                <w:color w:val="000000" w:themeColor="text1"/>
                <w:sz w:val="20"/>
                <w:szCs w:val="20"/>
                <w:vertAlign w:val="superscript"/>
              </w:rPr>
              <w:t>-3</w:t>
            </w:r>
            <w:r w:rsidRPr="00CF60DE">
              <w:rPr>
                <w:rFonts w:ascii="Arial" w:hAnsi="Arial" w:cs="Arial"/>
                <w:color w:val="000000" w:themeColor="text1"/>
                <w:sz w:val="20"/>
                <w:szCs w:val="20"/>
              </w:rPr>
              <w:t xml:space="preserve"> 1s</w:t>
            </w:r>
            <w:r w:rsidRPr="00CF60DE">
              <w:rPr>
                <w:rFonts w:ascii="Arial" w:hAnsi="Arial" w:cs="Arial"/>
                <w:color w:val="000000" w:themeColor="text1"/>
                <w:sz w:val="20"/>
                <w:szCs w:val="20"/>
                <w:vertAlign w:val="superscript"/>
              </w:rPr>
              <w:t>2</w:t>
            </w:r>
            <w:r w:rsidRPr="00CF60DE">
              <w:rPr>
                <w:rFonts w:ascii="Arial" w:hAnsi="Arial" w:cs="Arial"/>
                <w:color w:val="000000" w:themeColor="text1"/>
                <w:sz w:val="20"/>
                <w:szCs w:val="20"/>
              </w:rPr>
              <w:t xml:space="preserve"> 2s</w:t>
            </w:r>
            <w:r w:rsidRPr="00CF60DE">
              <w:rPr>
                <w:rFonts w:ascii="Arial" w:hAnsi="Arial" w:cs="Arial"/>
                <w:color w:val="000000" w:themeColor="text1"/>
                <w:sz w:val="20"/>
                <w:szCs w:val="20"/>
                <w:vertAlign w:val="superscript"/>
              </w:rPr>
              <w:t>2</w:t>
            </w:r>
            <w:r w:rsidRPr="00CF60DE">
              <w:rPr>
                <w:rFonts w:ascii="Arial" w:hAnsi="Arial" w:cs="Arial"/>
                <w:color w:val="000000" w:themeColor="text1"/>
                <w:sz w:val="20"/>
                <w:szCs w:val="20"/>
              </w:rPr>
              <w:t xml:space="preserve"> 2p</w:t>
            </w:r>
            <w:r w:rsidRPr="00CF60DE">
              <w:rPr>
                <w:rFonts w:ascii="Arial" w:hAnsi="Arial" w:cs="Arial"/>
                <w:color w:val="000000" w:themeColor="text1"/>
                <w:sz w:val="20"/>
                <w:szCs w:val="20"/>
                <w:vertAlign w:val="superscript"/>
              </w:rPr>
              <w:t>6</w:t>
            </w:r>
            <w:r w:rsidRPr="00CF60DE">
              <w:rPr>
                <w:rFonts w:ascii="Arial" w:hAnsi="Arial" w:cs="Arial"/>
                <w:color w:val="000000" w:themeColor="text1"/>
                <w:sz w:val="20"/>
                <w:szCs w:val="20"/>
              </w:rPr>
              <w:t xml:space="preserve"> 3s</w:t>
            </w:r>
            <w:r w:rsidRPr="00CF60DE">
              <w:rPr>
                <w:rFonts w:ascii="Arial" w:hAnsi="Arial" w:cs="Arial"/>
                <w:color w:val="000000" w:themeColor="text1"/>
                <w:sz w:val="20"/>
                <w:szCs w:val="20"/>
                <w:vertAlign w:val="superscript"/>
              </w:rPr>
              <w:t>2</w:t>
            </w:r>
            <w:r w:rsidRPr="00CF60DE">
              <w:rPr>
                <w:rFonts w:ascii="Arial" w:hAnsi="Arial" w:cs="Arial"/>
                <w:color w:val="000000" w:themeColor="text1"/>
                <w:sz w:val="20"/>
                <w:szCs w:val="20"/>
              </w:rPr>
              <w:t xml:space="preserve"> 3p</w:t>
            </w:r>
            <w:r w:rsidRPr="00CF60DE">
              <w:rPr>
                <w:rFonts w:ascii="Arial" w:hAnsi="Arial" w:cs="Arial"/>
                <w:color w:val="000000" w:themeColor="text1"/>
                <w:sz w:val="20"/>
                <w:szCs w:val="20"/>
                <w:vertAlign w:val="superscript"/>
              </w:rPr>
              <w:t>2</w:t>
            </w:r>
          </w:p>
        </w:tc>
        <w:tc>
          <w:tcPr>
            <w:tcW w:w="1276" w:type="dxa"/>
            <w:tcBorders>
              <w:top w:val="single" w:sz="4" w:space="0" w:color="auto"/>
              <w:left w:val="single" w:sz="4" w:space="0" w:color="auto"/>
              <w:bottom w:val="single" w:sz="4" w:space="0" w:color="auto"/>
              <w:right w:val="single" w:sz="4" w:space="0" w:color="auto"/>
            </w:tcBorders>
          </w:tcPr>
          <w:p w14:paraId="4D95D9C9" w14:textId="77777777" w:rsidR="00BB4C5A" w:rsidRPr="00CF60DE" w:rsidRDefault="00BB4C5A" w:rsidP="00CF60DE">
            <w:pPr>
              <w:jc w:val="both"/>
              <w:rPr>
                <w:rFonts w:ascii="Arial" w:hAnsi="Arial" w:cs="Arial"/>
                <w:color w:val="000000" w:themeColor="text1"/>
                <w:sz w:val="20"/>
                <w:szCs w:val="20"/>
              </w:rPr>
            </w:pPr>
          </w:p>
        </w:tc>
      </w:tr>
    </w:tbl>
    <w:p w14:paraId="4DACE023" w14:textId="77777777" w:rsidR="00BB4C5A" w:rsidRPr="00CF60DE" w:rsidRDefault="00BB4C5A" w:rsidP="00CF60DE">
      <w:pPr>
        <w:spacing w:after="0" w:line="240" w:lineRule="auto"/>
        <w:jc w:val="both"/>
        <w:rPr>
          <w:rFonts w:ascii="Arial" w:hAnsi="Arial" w:cs="Arial"/>
          <w:color w:val="000000" w:themeColor="text1"/>
          <w:sz w:val="20"/>
          <w:szCs w:val="20"/>
          <w:lang w:val="es-ES"/>
        </w:rPr>
      </w:pPr>
      <w:r w:rsidRPr="00CF60DE">
        <w:rPr>
          <w:rFonts w:ascii="Arial" w:hAnsi="Arial" w:cs="Arial"/>
          <w:color w:val="000000" w:themeColor="text1"/>
          <w:sz w:val="20"/>
          <w:szCs w:val="20"/>
          <w:lang w:val="es-ES"/>
        </w:rPr>
        <w:t xml:space="preserve">5. Consulta sobre la geometría molecular, enlaces químicos de los compuestos químicos </w:t>
      </w:r>
    </w:p>
    <w:p w14:paraId="7C1F7687" w14:textId="77777777" w:rsidR="00BB4C5A" w:rsidRPr="00CF60DE" w:rsidRDefault="00BB4C5A"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 xml:space="preserve">6. Sean X, Y, Z y Q tres elementos del sistema periódico cuyos números atómicos son respectivamente, 35, 18 y 25. Según la distribución de cada uno de estos elementos puedes deducir que tipo de enlace formaría. </w:t>
      </w:r>
    </w:p>
    <w:p w14:paraId="17EA2742" w14:textId="7A96F90F" w:rsidR="00542CC0" w:rsidRPr="00CF60DE" w:rsidRDefault="000A7D96" w:rsidP="00CF60DE">
      <w:pPr>
        <w:pStyle w:val="Prrafodelista"/>
        <w:tabs>
          <w:tab w:val="left" w:pos="709"/>
        </w:tabs>
        <w:spacing w:after="0" w:line="240" w:lineRule="auto"/>
        <w:ind w:left="0"/>
        <w:jc w:val="both"/>
        <w:rPr>
          <w:rFonts w:ascii="Arial" w:hAnsi="Arial" w:cs="Arial"/>
          <w:color w:val="000000" w:themeColor="text1"/>
          <w:sz w:val="20"/>
          <w:szCs w:val="20"/>
        </w:rPr>
      </w:pPr>
      <w:r>
        <w:rPr>
          <w:rFonts w:ascii="Arial" w:hAnsi="Arial" w:cs="Arial"/>
          <w:color w:val="000000" w:themeColor="text1"/>
          <w:sz w:val="20"/>
          <w:szCs w:val="20"/>
        </w:rPr>
        <w:t>7</w:t>
      </w:r>
      <w:r w:rsidR="00542CC0" w:rsidRPr="00CF60DE">
        <w:rPr>
          <w:rFonts w:ascii="Arial" w:hAnsi="Arial" w:cs="Arial"/>
          <w:color w:val="000000" w:themeColor="text1"/>
          <w:sz w:val="20"/>
          <w:szCs w:val="20"/>
        </w:rPr>
        <w:t>.</w:t>
      </w:r>
      <w:r w:rsidR="00B74ED6" w:rsidRPr="00CF60DE">
        <w:rPr>
          <w:rFonts w:ascii="Arial" w:hAnsi="Arial" w:cs="Arial"/>
          <w:color w:val="000000" w:themeColor="text1"/>
          <w:sz w:val="20"/>
          <w:szCs w:val="20"/>
        </w:rPr>
        <w:t xml:space="preserve"> </w:t>
      </w:r>
      <w:r w:rsidR="00542CC0" w:rsidRPr="00CF60DE">
        <w:rPr>
          <w:rFonts w:ascii="Arial" w:hAnsi="Arial" w:cs="Arial"/>
          <w:color w:val="000000" w:themeColor="text1"/>
          <w:sz w:val="20"/>
          <w:szCs w:val="20"/>
        </w:rPr>
        <w:t xml:space="preserve"> Indique la afirmación correcta, basándose en la electronegatividad de los elementos señalados: en cuanto al tipo de enlace que se formará entre los elementos que se indican: </w:t>
      </w:r>
    </w:p>
    <w:p w14:paraId="0CF0CEBE" w14:textId="77777777" w:rsidR="00542CC0" w:rsidRPr="00CF60DE" w:rsidRDefault="00542CC0" w:rsidP="00CF60DE">
      <w:pPr>
        <w:tabs>
          <w:tab w:val="left" w:pos="567"/>
        </w:tabs>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Valores de electronegatividad según la escala de Pauling de algunos elementos</w:t>
      </w:r>
    </w:p>
    <w:p w14:paraId="0D38189B" w14:textId="77777777" w:rsidR="00542CC0" w:rsidRPr="00CF60DE" w:rsidRDefault="00542CC0" w:rsidP="00CF60DE">
      <w:pPr>
        <w:pStyle w:val="Prrafodelista"/>
        <w:tabs>
          <w:tab w:val="left" w:pos="709"/>
        </w:tabs>
        <w:spacing w:after="0" w:line="240" w:lineRule="auto"/>
        <w:ind w:left="0"/>
        <w:jc w:val="both"/>
        <w:rPr>
          <w:rFonts w:ascii="Arial" w:hAnsi="Arial" w:cs="Arial"/>
          <w:color w:val="000000" w:themeColor="text1"/>
          <w:sz w:val="20"/>
          <w:szCs w:val="20"/>
        </w:rPr>
      </w:pPr>
      <w:r w:rsidRPr="00CF60DE">
        <w:rPr>
          <w:rFonts w:ascii="Arial" w:hAnsi="Arial" w:cs="Arial"/>
          <w:color w:val="000000" w:themeColor="text1"/>
          <w:sz w:val="20"/>
          <w:szCs w:val="20"/>
        </w:rPr>
        <w:t>A. El Ca y el O un enlace covalente no polar</w:t>
      </w:r>
    </w:p>
    <w:p w14:paraId="3C14B405" w14:textId="77777777" w:rsidR="00542CC0" w:rsidRPr="00CF60DE" w:rsidRDefault="00542CC0" w:rsidP="00CF60DE">
      <w:pPr>
        <w:pStyle w:val="Prrafodelista"/>
        <w:tabs>
          <w:tab w:val="left" w:pos="709"/>
        </w:tabs>
        <w:spacing w:after="0" w:line="240" w:lineRule="auto"/>
        <w:ind w:left="0"/>
        <w:jc w:val="both"/>
        <w:rPr>
          <w:rFonts w:ascii="Arial" w:hAnsi="Arial" w:cs="Arial"/>
          <w:color w:val="000000" w:themeColor="text1"/>
          <w:sz w:val="20"/>
          <w:szCs w:val="20"/>
        </w:rPr>
      </w:pPr>
      <w:r w:rsidRPr="00CF60DE">
        <w:rPr>
          <w:rFonts w:ascii="Arial" w:hAnsi="Arial" w:cs="Arial"/>
          <w:color w:val="000000" w:themeColor="text1"/>
          <w:sz w:val="20"/>
          <w:szCs w:val="20"/>
        </w:rPr>
        <w:t>B. El H y el Cl un enlace iónico</w:t>
      </w:r>
    </w:p>
    <w:p w14:paraId="014B0920" w14:textId="77777777" w:rsidR="00542CC0" w:rsidRPr="00CF60DE" w:rsidRDefault="00542CC0" w:rsidP="00CF60DE">
      <w:pPr>
        <w:pStyle w:val="Prrafodelista"/>
        <w:tabs>
          <w:tab w:val="left" w:pos="709"/>
        </w:tabs>
        <w:spacing w:after="0" w:line="240" w:lineRule="auto"/>
        <w:ind w:left="0"/>
        <w:jc w:val="both"/>
        <w:rPr>
          <w:rFonts w:ascii="Arial" w:hAnsi="Arial" w:cs="Arial"/>
          <w:color w:val="000000" w:themeColor="text1"/>
          <w:sz w:val="20"/>
          <w:szCs w:val="20"/>
        </w:rPr>
      </w:pPr>
      <w:r w:rsidRPr="00CF60DE">
        <w:rPr>
          <w:rFonts w:ascii="Arial" w:hAnsi="Arial" w:cs="Arial"/>
          <w:color w:val="000000" w:themeColor="text1"/>
          <w:sz w:val="20"/>
          <w:szCs w:val="20"/>
        </w:rPr>
        <w:t>C. El K y el F un enlace iónico</w:t>
      </w:r>
    </w:p>
    <w:p w14:paraId="36A9B3EB" w14:textId="261C65DF" w:rsidR="00542CC0" w:rsidRPr="00CF60DE" w:rsidRDefault="00542CC0"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D. El H y el Br un enlace covalente puro o polar</w:t>
      </w:r>
    </w:p>
    <w:p w14:paraId="7C724F6F" w14:textId="2EC4A63A" w:rsidR="00CF60DE" w:rsidRPr="00CF60DE" w:rsidRDefault="000A7D96" w:rsidP="00CF60DE">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8</w:t>
      </w:r>
      <w:r w:rsidR="00CF60DE" w:rsidRPr="00CF60DE">
        <w:rPr>
          <w:rFonts w:ascii="Arial" w:hAnsi="Arial" w:cs="Arial"/>
          <w:color w:val="000000" w:themeColor="text1"/>
          <w:sz w:val="20"/>
          <w:szCs w:val="20"/>
        </w:rPr>
        <w:t>. Responde falso o verdadero y justifica las falsas.</w:t>
      </w:r>
    </w:p>
    <w:p w14:paraId="485E5873" w14:textId="4A403150"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1. Las fuerzas intermoleculares son las interacciones que ocurren en el interior de una molécula para mantener unidos a sus átomos constituyentes mediante enlaces covalentes.</w:t>
      </w:r>
    </w:p>
    <w:p w14:paraId="667408D2" w14:textId="654FFDD9"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2. El agua (H</w:t>
      </w:r>
      <w:r w:rsidRPr="00CF60DE">
        <w:rPr>
          <w:rFonts w:ascii="Cambria Math" w:hAnsi="Cambria Math" w:cs="Cambria Math"/>
          <w:color w:val="000000" w:themeColor="text1"/>
          <w:sz w:val="20"/>
          <w:szCs w:val="20"/>
        </w:rPr>
        <w:t>₂</w:t>
      </w:r>
      <w:r w:rsidRPr="00CF60DE">
        <w:rPr>
          <w:rFonts w:ascii="Arial" w:hAnsi="Arial" w:cs="Arial"/>
          <w:color w:val="000000" w:themeColor="text1"/>
          <w:sz w:val="20"/>
          <w:szCs w:val="20"/>
        </w:rPr>
        <w:t>O) presenta un punto de ebullición inusualmente alto porque sus moléculas están fuertemente cohesionadas por puentes de hidrógeno, requiriendo gran energía térmica para separarlas.</w:t>
      </w:r>
    </w:p>
    <w:p w14:paraId="0C83405A" w14:textId="6B280703"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3. En la superficie de un líquido en reposo, las moléculas experimentan fuerzas de atracción electrostática simétricas en todas las direcciones (tanto hacia arriba en el aire como hacia los lados).</w:t>
      </w:r>
    </w:p>
    <w:p w14:paraId="22486AEE" w14:textId="19C5FE9A"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 xml:space="preserve">4. </w:t>
      </w:r>
      <w:r>
        <w:rPr>
          <w:rFonts w:ascii="Arial" w:hAnsi="Arial" w:cs="Arial"/>
          <w:color w:val="000000" w:themeColor="text1"/>
          <w:sz w:val="20"/>
          <w:szCs w:val="20"/>
        </w:rPr>
        <w:t>Al añadir un agente tens</w:t>
      </w:r>
      <w:r w:rsidRPr="00CF60DE">
        <w:rPr>
          <w:rFonts w:ascii="Arial" w:hAnsi="Arial" w:cs="Arial"/>
          <w:color w:val="000000" w:themeColor="text1"/>
          <w:sz w:val="20"/>
          <w:szCs w:val="20"/>
        </w:rPr>
        <w:t>oactivo como el jabón, la tensión superficial del agua disminuye debido a la interrupción de los enlaces por puente de hidrógeno periféricos.</w:t>
      </w:r>
    </w:p>
    <w:p w14:paraId="4F3AE2B5" w14:textId="175B3317"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5. Las fuerzas de dispersión de London se manifiestan de forma exclusiva en moléculas polares asimétricas que poseen dipolos permanentes estables.</w:t>
      </w:r>
    </w:p>
    <w:p w14:paraId="21182714" w14:textId="5FDC78BF"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6. A medida que se incrementa la masa molar y la longitud de la cadena electrónica en hidrocarburos apolares, las fuerzas de London se intensifican, elevando consecuentemente sus puntos de ebullición.</w:t>
      </w:r>
    </w:p>
    <w:p w14:paraId="369FDE44" w14:textId="623479B1" w:rsidR="00CF60DE" w:rsidRPr="00CF60DE" w:rsidRDefault="000A7D96" w:rsidP="00CF60DE">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9</w:t>
      </w:r>
      <w:r w:rsidR="00CF60DE">
        <w:rPr>
          <w:rFonts w:ascii="Arial" w:hAnsi="Arial" w:cs="Arial"/>
          <w:color w:val="000000" w:themeColor="text1"/>
          <w:sz w:val="20"/>
          <w:szCs w:val="20"/>
        </w:rPr>
        <w:t>. Responde según cada situación.</w:t>
      </w:r>
    </w:p>
    <w:p w14:paraId="2E1EB2CB" w14:textId="5048A15F"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A. Dibuje las estructuras de Lewis para el NO</w:t>
      </w:r>
      <w:r w:rsidRPr="00CF60DE">
        <w:rPr>
          <w:rFonts w:ascii="Cambria Math" w:hAnsi="Cambria Math" w:cs="Cambria Math"/>
          <w:color w:val="000000" w:themeColor="text1"/>
          <w:sz w:val="20"/>
          <w:szCs w:val="20"/>
        </w:rPr>
        <w:t>₂</w:t>
      </w:r>
      <w:r w:rsidRPr="00CF60DE">
        <w:rPr>
          <w:rFonts w:ascii="Arial" w:hAnsi="Arial" w:cs="Arial"/>
          <w:color w:val="000000" w:themeColor="text1"/>
          <w:sz w:val="20"/>
          <w:szCs w:val="20"/>
        </w:rPr>
        <w:t xml:space="preserve"> y el </w:t>
      </w:r>
      <w:proofErr w:type="spellStart"/>
      <w:r w:rsidRPr="00CF60DE">
        <w:rPr>
          <w:rFonts w:ascii="Arial" w:hAnsi="Arial" w:cs="Arial"/>
          <w:color w:val="000000" w:themeColor="text1"/>
          <w:sz w:val="20"/>
          <w:szCs w:val="20"/>
        </w:rPr>
        <w:t>PCl</w:t>
      </w:r>
      <w:proofErr w:type="spellEnd"/>
      <w:r w:rsidRPr="00CF60DE">
        <w:rPr>
          <w:rFonts w:ascii="Cambria Math" w:hAnsi="Cambria Math" w:cs="Cambria Math"/>
          <w:color w:val="000000" w:themeColor="text1"/>
          <w:sz w:val="20"/>
          <w:szCs w:val="20"/>
        </w:rPr>
        <w:t>₃</w:t>
      </w:r>
      <w:r w:rsidRPr="00CF60DE">
        <w:rPr>
          <w:rFonts w:ascii="Arial" w:hAnsi="Arial" w:cs="Arial"/>
          <w:color w:val="000000" w:themeColor="text1"/>
          <w:sz w:val="20"/>
          <w:szCs w:val="20"/>
        </w:rPr>
        <w:t>. Indique cuántos pares de electrones enlazantes y libres posee el átomo central en cada caso.</w:t>
      </w:r>
    </w:p>
    <w:p w14:paraId="6ABDD249" w14:textId="3051BCF8"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lastRenderedPageBreak/>
        <w:t>B. Determine la geometría molecular de ambas sustancias según la Teoría de Repulsión de Pares de Electrones de la Capa de Valencia (RPECV). Explique el efecto del electrón desapareado en el NO</w:t>
      </w:r>
      <w:r w:rsidRPr="00CF60DE">
        <w:rPr>
          <w:rFonts w:ascii="Cambria Math" w:hAnsi="Cambria Math" w:cs="Cambria Math"/>
          <w:color w:val="000000" w:themeColor="text1"/>
          <w:sz w:val="20"/>
          <w:szCs w:val="20"/>
        </w:rPr>
        <w:t>₂</w:t>
      </w:r>
      <w:r w:rsidRPr="00CF60DE">
        <w:rPr>
          <w:rFonts w:ascii="Arial" w:hAnsi="Arial" w:cs="Arial"/>
          <w:color w:val="000000" w:themeColor="text1"/>
          <w:sz w:val="20"/>
          <w:szCs w:val="20"/>
        </w:rPr>
        <w:t xml:space="preserve"> y del par libre en el </w:t>
      </w:r>
      <w:proofErr w:type="spellStart"/>
      <w:r w:rsidRPr="00CF60DE">
        <w:rPr>
          <w:rFonts w:ascii="Arial" w:hAnsi="Arial" w:cs="Arial"/>
          <w:color w:val="000000" w:themeColor="text1"/>
          <w:sz w:val="20"/>
          <w:szCs w:val="20"/>
        </w:rPr>
        <w:t>PCl</w:t>
      </w:r>
      <w:proofErr w:type="spellEnd"/>
      <w:r w:rsidRPr="00CF60DE">
        <w:rPr>
          <w:rFonts w:ascii="Cambria Math" w:hAnsi="Cambria Math" w:cs="Cambria Math"/>
          <w:color w:val="000000" w:themeColor="text1"/>
          <w:sz w:val="20"/>
          <w:szCs w:val="20"/>
        </w:rPr>
        <w:t>₃</w:t>
      </w:r>
      <w:r w:rsidRPr="00CF60DE">
        <w:rPr>
          <w:rFonts w:ascii="Arial" w:hAnsi="Arial" w:cs="Arial"/>
          <w:color w:val="000000" w:themeColor="text1"/>
          <w:sz w:val="20"/>
          <w:szCs w:val="20"/>
        </w:rPr>
        <w:t>.</w:t>
      </w:r>
    </w:p>
    <w:p w14:paraId="0F3931BC" w14:textId="733107BA"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C. Justifique si el NO</w:t>
      </w:r>
      <w:r w:rsidRPr="00CF60DE">
        <w:rPr>
          <w:rFonts w:ascii="Cambria Math" w:hAnsi="Cambria Math" w:cs="Cambria Math"/>
          <w:color w:val="000000" w:themeColor="text1"/>
          <w:sz w:val="20"/>
          <w:szCs w:val="20"/>
        </w:rPr>
        <w:t>₂</w:t>
      </w:r>
      <w:r w:rsidRPr="00CF60DE">
        <w:rPr>
          <w:rFonts w:ascii="Arial" w:hAnsi="Arial" w:cs="Arial"/>
          <w:color w:val="000000" w:themeColor="text1"/>
          <w:sz w:val="20"/>
          <w:szCs w:val="20"/>
        </w:rPr>
        <w:t xml:space="preserve"> y el </w:t>
      </w:r>
      <w:proofErr w:type="spellStart"/>
      <w:r w:rsidRPr="00CF60DE">
        <w:rPr>
          <w:rFonts w:ascii="Arial" w:hAnsi="Arial" w:cs="Arial"/>
          <w:color w:val="000000" w:themeColor="text1"/>
          <w:sz w:val="20"/>
          <w:szCs w:val="20"/>
        </w:rPr>
        <w:t>PCl</w:t>
      </w:r>
      <w:proofErr w:type="spellEnd"/>
      <w:r w:rsidRPr="00CF60DE">
        <w:rPr>
          <w:rFonts w:ascii="Cambria Math" w:hAnsi="Cambria Math" w:cs="Cambria Math"/>
          <w:color w:val="000000" w:themeColor="text1"/>
          <w:sz w:val="20"/>
          <w:szCs w:val="20"/>
        </w:rPr>
        <w:t>₃</w:t>
      </w:r>
      <w:r w:rsidRPr="00CF60DE">
        <w:rPr>
          <w:rFonts w:ascii="Arial" w:hAnsi="Arial" w:cs="Arial"/>
          <w:color w:val="000000" w:themeColor="text1"/>
          <w:sz w:val="20"/>
          <w:szCs w:val="20"/>
        </w:rPr>
        <w:t xml:space="preserve"> son moléculas polares o apolares basándose en su simetría geométrica y sus momentos dipolares.</w:t>
      </w:r>
    </w:p>
    <w:p w14:paraId="2035AC66" w14:textId="34431ACB"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D. Identifique cuál es la fuerza intermolecular dominante que mantiene unidas a las moléculas de cada compuesto en estado líquido.</w:t>
      </w:r>
    </w:p>
    <w:p w14:paraId="46239A40" w14:textId="1FD10248" w:rsidR="00CF60DE" w:rsidRPr="00CF60DE" w:rsidRDefault="000A7D96" w:rsidP="00CF60DE">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10</w:t>
      </w:r>
      <w:r w:rsidR="00CF60DE" w:rsidRPr="00CF60DE">
        <w:rPr>
          <w:rFonts w:ascii="Arial" w:hAnsi="Arial" w:cs="Arial"/>
          <w:color w:val="000000" w:themeColor="text1"/>
          <w:sz w:val="20"/>
          <w:szCs w:val="20"/>
        </w:rPr>
        <w:t>.Lea el siguiente guión narrativo científico y responda las preguntas analíticas de transferencia que aparecen al final.</w:t>
      </w:r>
    </w:p>
    <w:p w14:paraId="5EE150E1" w14:textId="77777777" w:rsidR="00CF60DE" w:rsidRPr="00CF60DE" w:rsidRDefault="00CF60DE" w:rsidP="00CF60DE">
      <w:pPr>
        <w:spacing w:after="0" w:line="240" w:lineRule="auto"/>
        <w:jc w:val="both"/>
        <w:rPr>
          <w:rFonts w:ascii="Arial" w:hAnsi="Arial" w:cs="Arial"/>
          <w:color w:val="000000" w:themeColor="text1"/>
          <w:sz w:val="20"/>
          <w:szCs w:val="20"/>
        </w:rPr>
      </w:pPr>
      <w:r w:rsidRPr="00CF60DE">
        <w:rPr>
          <w:rFonts w:ascii="Arial" w:hAnsi="Arial" w:cs="Arial"/>
          <w:color w:val="000000" w:themeColor="text1"/>
          <w:sz w:val="20"/>
          <w:szCs w:val="20"/>
        </w:rPr>
        <w:t>El gran escape de la olla de calor. Un grupo de moléculas de agua permanece fuertemente unido en el fondo de un recipiente, sujetándose con firmeza a través de sus puentes de hidrógeno. Al encenderse la hornilla, el Fuego inyecta energía térmica masiva al sistema. Las moléculas de agua empiezan a vibrar fuertemente, pero sus vecinas resisten el movimiento caótico jalándolas de regreso al grupo: '¡No te vayas, resiste la agitación!'. El termómetro marca 60°C, luego 80°C y las uniones se mantienen estables debido a su alta polaridad. Solo al alcanzar el umbral crítico de los 100°C, la agitación molecular es tan extrema que los puentes de hidrógeno colapsan simultáneamente. Las moléculas se liberan de sus abrazos intermoleculares y escapan en forma de vapor al ambiente</w:t>
      </w:r>
    </w:p>
    <w:p w14:paraId="04E8BA75" w14:textId="24AC597F" w:rsidR="00CF60DE" w:rsidRPr="00CF60DE" w:rsidRDefault="000A7D96" w:rsidP="00CF60DE">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w:t>
      </w:r>
      <w:r w:rsidR="00CF60DE" w:rsidRPr="00CF60DE">
        <w:rPr>
          <w:rFonts w:ascii="Arial" w:hAnsi="Arial" w:cs="Arial"/>
          <w:color w:val="000000" w:themeColor="text1"/>
          <w:sz w:val="20"/>
          <w:szCs w:val="20"/>
        </w:rPr>
        <w:t xml:space="preserve"> ¿Qué tipo de energía aporta el fuego a las moléculas y qué efecto directo tiene esto sobre sus uniones intermoleculares?</w:t>
      </w:r>
    </w:p>
    <w:p w14:paraId="6F45D180" w14:textId="44015BD8" w:rsidR="00CF60DE" w:rsidRPr="00CF60DE" w:rsidRDefault="000A7D96" w:rsidP="00CF60DE">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w:t>
      </w:r>
      <w:r w:rsidR="00CF60DE" w:rsidRPr="00CF60DE">
        <w:rPr>
          <w:rFonts w:ascii="Arial" w:hAnsi="Arial" w:cs="Arial"/>
          <w:color w:val="000000" w:themeColor="text1"/>
          <w:sz w:val="20"/>
          <w:szCs w:val="20"/>
        </w:rPr>
        <w:t xml:space="preserve"> Si en lugar de agua tuviéramos acetona líquida (cuyas moléculas se atraen únicamente por fuerzas dipolo-dipolo más débiles), ¿el 'escape' ocurriría a una temperatura mayor o menor que los 100°C? Justifique su respuesta.</w:t>
      </w:r>
    </w:p>
    <w:p w14:paraId="648301C6" w14:textId="77777777" w:rsidR="00CF60DE" w:rsidRPr="00CF60DE" w:rsidRDefault="00CF60DE" w:rsidP="00CF60DE">
      <w:pPr>
        <w:spacing w:after="0" w:line="240" w:lineRule="auto"/>
        <w:jc w:val="both"/>
        <w:rPr>
          <w:rFonts w:ascii="Arial" w:hAnsi="Arial" w:cs="Arial"/>
          <w:color w:val="000000" w:themeColor="text1"/>
          <w:sz w:val="20"/>
          <w:szCs w:val="20"/>
        </w:rPr>
      </w:pPr>
    </w:p>
    <w:p w14:paraId="3793CCF6" w14:textId="3C2AC3B2" w:rsidR="00CF60DE" w:rsidRPr="00CF60DE" w:rsidRDefault="00CF60DE" w:rsidP="00CF60DE">
      <w:pPr>
        <w:spacing w:after="0" w:line="240" w:lineRule="auto"/>
        <w:jc w:val="both"/>
        <w:rPr>
          <w:rFonts w:ascii="Arial" w:hAnsi="Arial" w:cs="Arial"/>
          <w:color w:val="000000" w:themeColor="text1"/>
          <w:sz w:val="20"/>
          <w:szCs w:val="20"/>
        </w:rPr>
      </w:pPr>
    </w:p>
    <w:p w14:paraId="4FA264B2" w14:textId="23FDE31F" w:rsidR="00CF60DE" w:rsidRPr="00CF60DE" w:rsidRDefault="00CF60DE" w:rsidP="00CF60DE">
      <w:pPr>
        <w:spacing w:after="0" w:line="240" w:lineRule="auto"/>
        <w:jc w:val="both"/>
        <w:rPr>
          <w:rFonts w:ascii="Arial" w:hAnsi="Arial" w:cs="Arial"/>
          <w:color w:val="000000" w:themeColor="text1"/>
          <w:sz w:val="20"/>
          <w:szCs w:val="20"/>
        </w:rPr>
      </w:pPr>
    </w:p>
    <w:p w14:paraId="5DFEE9A9" w14:textId="77777777" w:rsidR="00CF60DE" w:rsidRPr="00CF60DE" w:rsidRDefault="00CF60DE" w:rsidP="00CF60DE">
      <w:pPr>
        <w:spacing w:after="0" w:line="240" w:lineRule="auto"/>
        <w:jc w:val="both"/>
        <w:rPr>
          <w:rFonts w:ascii="Arial" w:hAnsi="Arial" w:cs="Arial"/>
          <w:color w:val="000000" w:themeColor="text1"/>
          <w:sz w:val="20"/>
          <w:szCs w:val="20"/>
        </w:rPr>
      </w:pPr>
    </w:p>
    <w:p w14:paraId="7383874A" w14:textId="77777777" w:rsidR="00542CC0" w:rsidRPr="00CF60DE" w:rsidRDefault="00542CC0" w:rsidP="00CF60DE">
      <w:pPr>
        <w:spacing w:after="0" w:line="240" w:lineRule="auto"/>
        <w:jc w:val="both"/>
        <w:rPr>
          <w:rFonts w:ascii="Arial" w:hAnsi="Arial" w:cs="Arial"/>
          <w:color w:val="000000" w:themeColor="text1"/>
          <w:sz w:val="20"/>
          <w:szCs w:val="20"/>
        </w:rPr>
      </w:pPr>
    </w:p>
    <w:p w14:paraId="4D92842F" w14:textId="77777777" w:rsidR="00993EC3" w:rsidRPr="00CF60DE" w:rsidRDefault="00993EC3" w:rsidP="00CF60DE">
      <w:pPr>
        <w:spacing w:after="0" w:line="240" w:lineRule="auto"/>
        <w:jc w:val="both"/>
        <w:rPr>
          <w:rFonts w:ascii="Arial" w:hAnsi="Arial" w:cs="Arial"/>
          <w:color w:val="000000" w:themeColor="text1"/>
          <w:sz w:val="20"/>
          <w:szCs w:val="20"/>
        </w:rPr>
      </w:pPr>
    </w:p>
    <w:sectPr w:rsidR="00993EC3" w:rsidRPr="00CF60DE" w:rsidSect="00FD1807">
      <w:headerReference w:type="default" r:id="rId6"/>
      <w:footerReference w:type="default" r:id="rId7"/>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13DF7" w14:textId="77777777" w:rsidR="007F5F7A" w:rsidRDefault="007F5F7A" w:rsidP="00BB4C5A">
      <w:pPr>
        <w:spacing w:after="0" w:line="240" w:lineRule="auto"/>
      </w:pPr>
      <w:r>
        <w:separator/>
      </w:r>
    </w:p>
  </w:endnote>
  <w:endnote w:type="continuationSeparator" w:id="0">
    <w:p w14:paraId="3B951DEC" w14:textId="77777777" w:rsidR="007F5F7A" w:rsidRDefault="007F5F7A" w:rsidP="00BB4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1411C" w14:textId="3119F8DC" w:rsidR="00BB4C5A" w:rsidRPr="00481CA1" w:rsidRDefault="00BB4C5A" w:rsidP="00BB4C5A">
    <w:pPr>
      <w:pStyle w:val="Piedepgina"/>
      <w:spacing w:line="240" w:lineRule="atLeast"/>
      <w:rPr>
        <w:sz w:val="18"/>
        <w:szCs w:val="18"/>
      </w:rPr>
    </w:pPr>
    <w:r w:rsidRPr="00481CA1">
      <w:rPr>
        <w:noProof/>
        <w:sz w:val="18"/>
        <w:szCs w:val="18"/>
        <w:lang w:val="en-US"/>
      </w:rPr>
      <mc:AlternateContent>
        <mc:Choice Requires="wps">
          <w:drawing>
            <wp:anchor distT="0" distB="0" distL="114300" distR="114300" simplePos="0" relativeHeight="251659264" behindDoc="0" locked="0" layoutInCell="1" allowOverlap="1" wp14:anchorId="7C4CC1BC" wp14:editId="38AF1DE0">
              <wp:simplePos x="0" y="0"/>
              <wp:positionH relativeFrom="column">
                <wp:posOffset>-259080</wp:posOffset>
              </wp:positionH>
              <wp:positionV relativeFrom="paragraph">
                <wp:posOffset>92075</wp:posOffset>
              </wp:positionV>
              <wp:extent cx="6191885" cy="0"/>
              <wp:effectExtent l="22860" t="20955" r="24130" b="26670"/>
              <wp:wrapNone/>
              <wp:docPr id="709089716"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885" cy="0"/>
                      </a:xfrm>
                      <a:prstGeom prst="straightConnector1">
                        <a:avLst/>
                      </a:prstGeom>
                      <a:noFill/>
                      <a:ln w="38100">
                        <a:solidFill>
                          <a:srgbClr val="94363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5ACBC9" id="_x0000_t32" coordsize="21600,21600" o:spt="32" o:oned="t" path="m,l21600,21600e" filled="f">
              <v:path arrowok="t" fillok="f" o:connecttype="none"/>
              <o:lock v:ext="edit" shapetype="t"/>
            </v:shapetype>
            <v:shape id="Conector recto de flecha 1" o:spid="_x0000_s1026" type="#_x0000_t32" style="position:absolute;margin-left:-20.4pt;margin-top:7.25pt;width:487.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" strokecolor="#943634" strokeweight="3pt"/>
          </w:pict>
        </mc:Fallback>
      </mc:AlternateContent>
    </w:r>
  </w:p>
  <w:p w14:paraId="561B93BB" w14:textId="77777777" w:rsidR="00BB4C5A" w:rsidRDefault="00BB4C5A" w:rsidP="00BB4C5A">
    <w:pPr>
      <w:spacing w:after="0" w:line="240" w:lineRule="atLeast"/>
      <w:jc w:val="center"/>
      <w:rPr>
        <w:i/>
        <w:sz w:val="18"/>
        <w:szCs w:val="18"/>
      </w:rPr>
    </w:pPr>
    <w:r w:rsidRPr="00202D1E">
      <w:rPr>
        <w:i/>
        <w:sz w:val="18"/>
        <w:szCs w:val="18"/>
      </w:rPr>
      <w:t xml:space="preserve">Cra: </w:t>
    </w:r>
    <w:r>
      <w:rPr>
        <w:i/>
        <w:sz w:val="18"/>
        <w:szCs w:val="18"/>
      </w:rPr>
      <w:t xml:space="preserve">38 Sur No 70 – 181 Teléfono 444 42 62   </w:t>
    </w:r>
    <w:proofErr w:type="spellStart"/>
    <w:r>
      <w:rPr>
        <w:i/>
        <w:sz w:val="18"/>
        <w:szCs w:val="18"/>
      </w:rPr>
      <w:t>ext</w:t>
    </w:r>
    <w:proofErr w:type="spellEnd"/>
    <w:r>
      <w:rPr>
        <w:i/>
        <w:sz w:val="18"/>
        <w:szCs w:val="18"/>
      </w:rPr>
      <w:t xml:space="preserve"> 601 – 602 </w:t>
    </w:r>
  </w:p>
  <w:p w14:paraId="7AFF4E7D" w14:textId="77777777" w:rsidR="00BB4C5A" w:rsidRDefault="00BB4C5A" w:rsidP="00BB4C5A">
    <w:pPr>
      <w:spacing w:after="0" w:line="240" w:lineRule="atLeast"/>
      <w:jc w:val="center"/>
      <w:rPr>
        <w:i/>
        <w:sz w:val="18"/>
        <w:szCs w:val="18"/>
        <w:lang w:val="es-ES"/>
      </w:rPr>
    </w:pPr>
    <w:hyperlink r:id="rId1" w:history="1">
      <w:r w:rsidRPr="002843E9">
        <w:rPr>
          <w:rStyle w:val="Hipervnculo"/>
          <w:i/>
          <w:sz w:val="18"/>
          <w:szCs w:val="18"/>
          <w:lang w:val="es-ES"/>
        </w:rPr>
        <w:t>https://cooperativo.edu.co/portal/</w:t>
      </w:r>
    </w:hyperlink>
    <w:r>
      <w:rPr>
        <w:i/>
        <w:sz w:val="18"/>
        <w:szCs w:val="18"/>
        <w:lang w:val="es-ES"/>
      </w:rPr>
      <w:t xml:space="preserve"> </w:t>
    </w:r>
  </w:p>
  <w:p w14:paraId="2F72FE48" w14:textId="77777777" w:rsidR="00BB4C5A" w:rsidRPr="003607BD" w:rsidRDefault="00BB4C5A" w:rsidP="00BB4C5A">
    <w:pPr>
      <w:spacing w:after="0" w:line="240" w:lineRule="atLeast"/>
      <w:jc w:val="center"/>
      <w:rPr>
        <w:i/>
        <w:sz w:val="18"/>
        <w:szCs w:val="18"/>
        <w:lang w:val="es-ES"/>
      </w:rPr>
    </w:pPr>
    <w:hyperlink r:id="rId2" w:history="1">
      <w:r w:rsidRPr="002843E9">
        <w:rPr>
          <w:rStyle w:val="Hipervnculo"/>
          <w:i/>
          <w:sz w:val="18"/>
          <w:szCs w:val="18"/>
          <w:lang w:val="es-ES"/>
        </w:rPr>
        <w:t>www.coomulsap.com</w:t>
      </w:r>
    </w:hyperlink>
    <w:r>
      <w:rPr>
        <w:i/>
        <w:sz w:val="18"/>
        <w:szCs w:val="18"/>
        <w:lang w:val="es-ES"/>
      </w:rPr>
      <w:t xml:space="preserve"> </w:t>
    </w:r>
  </w:p>
  <w:p w14:paraId="18A4F0D0" w14:textId="77777777" w:rsidR="00BB4C5A" w:rsidRDefault="00BB4C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04103" w14:textId="77777777" w:rsidR="007F5F7A" w:rsidRDefault="007F5F7A" w:rsidP="00BB4C5A">
      <w:pPr>
        <w:spacing w:after="0" w:line="240" w:lineRule="auto"/>
      </w:pPr>
      <w:r>
        <w:separator/>
      </w:r>
    </w:p>
  </w:footnote>
  <w:footnote w:type="continuationSeparator" w:id="0">
    <w:p w14:paraId="341933B3" w14:textId="77777777" w:rsidR="007F5F7A" w:rsidRDefault="007F5F7A" w:rsidP="00BB4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DCC2" w14:textId="77777777" w:rsidR="00BB4C5A" w:rsidRPr="00F4336F" w:rsidRDefault="00BB4C5A" w:rsidP="00BB4C5A">
    <w:pPr>
      <w:pStyle w:val="Encabezado"/>
      <w:jc w:val="center"/>
      <w:rPr>
        <w:b/>
        <w:sz w:val="30"/>
        <w:szCs w:val="30"/>
      </w:rPr>
    </w:pPr>
    <w:r w:rsidRPr="00F4336F">
      <w:rPr>
        <w:b/>
        <w:noProof/>
        <w:sz w:val="30"/>
        <w:szCs w:val="30"/>
        <w:lang w:val="en-US"/>
      </w:rPr>
      <w:drawing>
        <wp:anchor distT="0" distB="0" distL="114300" distR="114300" simplePos="0" relativeHeight="251661312" behindDoc="0" locked="0" layoutInCell="1" allowOverlap="1" wp14:anchorId="48DFD21E" wp14:editId="4D8CA822">
          <wp:simplePos x="0" y="0"/>
          <wp:positionH relativeFrom="column">
            <wp:posOffset>91440</wp:posOffset>
          </wp:positionH>
          <wp:positionV relativeFrom="paragraph">
            <wp:posOffset>-91440</wp:posOffset>
          </wp:positionV>
          <wp:extent cx="609600" cy="609600"/>
          <wp:effectExtent l="0" t="0" r="0" b="0"/>
          <wp:wrapNone/>
          <wp:docPr id="15733824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21555" t="36198" r="61975" b="41855"/>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36F">
      <w:rPr>
        <w:b/>
        <w:sz w:val="30"/>
        <w:szCs w:val="30"/>
      </w:rPr>
      <w:t>COLEGIO COOPERATIVO “SAN ANTONIO DE PRADO”</w:t>
    </w:r>
  </w:p>
  <w:p w14:paraId="0657C4B0" w14:textId="348B6343" w:rsidR="00BB4C5A" w:rsidRPr="005C2A70" w:rsidRDefault="00B74ED6" w:rsidP="00BB4C5A">
    <w:pPr>
      <w:pStyle w:val="Encabezado"/>
      <w:jc w:val="center"/>
      <w:rPr>
        <w:sz w:val="16"/>
        <w:szCs w:val="16"/>
      </w:rPr>
    </w:pPr>
    <w:r>
      <w:rPr>
        <w:sz w:val="16"/>
        <w:szCs w:val="16"/>
      </w:rPr>
      <w:t xml:space="preserve">                         </w:t>
    </w:r>
    <w:r w:rsidR="00BB4C5A">
      <w:rPr>
        <w:sz w:val="16"/>
        <w:szCs w:val="16"/>
      </w:rPr>
      <w:t xml:space="preserve">Licencia de funcionamiento </w:t>
    </w:r>
    <w:r w:rsidR="00BB4C5A" w:rsidRPr="005C2A70">
      <w:rPr>
        <w:sz w:val="16"/>
        <w:szCs w:val="16"/>
      </w:rPr>
      <w:t>No.</w:t>
    </w:r>
    <w:r w:rsidR="00BB4C5A">
      <w:rPr>
        <w:sz w:val="16"/>
        <w:szCs w:val="16"/>
      </w:rPr>
      <w:t>09478</w:t>
    </w:r>
    <w:r w:rsidR="00BB4C5A" w:rsidRPr="005C2A70">
      <w:rPr>
        <w:sz w:val="16"/>
        <w:szCs w:val="16"/>
      </w:rPr>
      <w:t xml:space="preserve"> del 2</w:t>
    </w:r>
    <w:r w:rsidR="00BB4C5A">
      <w:rPr>
        <w:sz w:val="16"/>
        <w:szCs w:val="16"/>
      </w:rPr>
      <w:t>1</w:t>
    </w:r>
    <w:r w:rsidR="00BB4C5A" w:rsidRPr="005C2A70">
      <w:rPr>
        <w:sz w:val="16"/>
        <w:szCs w:val="16"/>
      </w:rPr>
      <w:t xml:space="preserve"> de</w:t>
    </w:r>
    <w:r w:rsidR="00BB4C5A">
      <w:rPr>
        <w:sz w:val="16"/>
        <w:szCs w:val="16"/>
      </w:rPr>
      <w:t xml:space="preserve"> </w:t>
    </w:r>
    <w:proofErr w:type="gramStart"/>
    <w:r w:rsidR="00BB4C5A">
      <w:rPr>
        <w:sz w:val="16"/>
        <w:szCs w:val="16"/>
      </w:rPr>
      <w:t>Octubre</w:t>
    </w:r>
    <w:proofErr w:type="gramEnd"/>
    <w:r w:rsidR="00BB4C5A">
      <w:rPr>
        <w:sz w:val="16"/>
        <w:szCs w:val="16"/>
      </w:rPr>
      <w:t xml:space="preserve"> </w:t>
    </w:r>
    <w:r w:rsidR="00BB4C5A" w:rsidRPr="005C2A70">
      <w:rPr>
        <w:sz w:val="16"/>
        <w:szCs w:val="16"/>
      </w:rPr>
      <w:t>de 200</w:t>
    </w:r>
    <w:r w:rsidR="00BB4C5A">
      <w:rPr>
        <w:sz w:val="16"/>
        <w:szCs w:val="16"/>
      </w:rPr>
      <w:t>9</w:t>
    </w:r>
    <w:r w:rsidR="00BB4C5A" w:rsidRPr="005C2A70">
      <w:rPr>
        <w:sz w:val="16"/>
        <w:szCs w:val="16"/>
      </w:rPr>
      <w:t>,</w:t>
    </w:r>
    <w:r w:rsidR="00BB4C5A">
      <w:rPr>
        <w:sz w:val="16"/>
        <w:szCs w:val="16"/>
      </w:rPr>
      <w:t xml:space="preserve"> </w:t>
    </w:r>
    <w:r w:rsidR="00BB4C5A" w:rsidRPr="005C2A70">
      <w:rPr>
        <w:sz w:val="16"/>
        <w:szCs w:val="16"/>
      </w:rPr>
      <w:t>emanada de la Secretaría de Educación del Municipio de Medellín.</w:t>
    </w:r>
  </w:p>
  <w:p w14:paraId="70214EFA" w14:textId="77777777" w:rsidR="00BB4C5A" w:rsidRPr="00F4336F" w:rsidRDefault="00BB4C5A" w:rsidP="00BB4C5A">
    <w:pPr>
      <w:pStyle w:val="Encabezado"/>
      <w:jc w:val="center"/>
      <w:rPr>
        <w:i/>
      </w:rPr>
    </w:pPr>
    <w:r w:rsidRPr="00F4336F">
      <w:rPr>
        <w:i/>
      </w:rPr>
      <w:t>Ser mejores cada dí</w:t>
    </w:r>
    <w:r>
      <w:rPr>
        <w:i/>
      </w:rPr>
      <w:t>a</w:t>
    </w:r>
  </w:p>
  <w:p w14:paraId="1B261D9F" w14:textId="77777777" w:rsidR="00BB4C5A" w:rsidRDefault="00BB4C5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C5A"/>
    <w:rsid w:val="000A7D96"/>
    <w:rsid w:val="00101BEB"/>
    <w:rsid w:val="00327D24"/>
    <w:rsid w:val="0046110F"/>
    <w:rsid w:val="00542CC0"/>
    <w:rsid w:val="00565DFE"/>
    <w:rsid w:val="007F5F7A"/>
    <w:rsid w:val="00993EC3"/>
    <w:rsid w:val="00AC0BEE"/>
    <w:rsid w:val="00B6121F"/>
    <w:rsid w:val="00B74ED6"/>
    <w:rsid w:val="00BB4C5A"/>
    <w:rsid w:val="00CF60DE"/>
    <w:rsid w:val="00D92ABC"/>
    <w:rsid w:val="00FD180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D4D14"/>
  <w15:chartTrackingRefBased/>
  <w15:docId w15:val="{23C1CCA4-1A73-413A-8331-620E9192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B4C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B4C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B4C5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B4C5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B4C5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B4C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B4C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B4C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B4C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4C5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B4C5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B4C5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B4C5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B4C5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B4C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B4C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B4C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B4C5A"/>
    <w:rPr>
      <w:rFonts w:eastAsiaTheme="majorEastAsia" w:cstheme="majorBidi"/>
      <w:color w:val="272727" w:themeColor="text1" w:themeTint="D8"/>
    </w:rPr>
  </w:style>
  <w:style w:type="paragraph" w:styleId="Ttulo">
    <w:name w:val="Title"/>
    <w:basedOn w:val="Normal"/>
    <w:next w:val="Normal"/>
    <w:link w:val="TtuloCar"/>
    <w:uiPriority w:val="10"/>
    <w:qFormat/>
    <w:rsid w:val="00BB4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B4C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B4C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B4C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B4C5A"/>
    <w:pPr>
      <w:spacing w:before="160"/>
      <w:jc w:val="center"/>
    </w:pPr>
    <w:rPr>
      <w:i/>
      <w:iCs/>
      <w:color w:val="404040" w:themeColor="text1" w:themeTint="BF"/>
    </w:rPr>
  </w:style>
  <w:style w:type="character" w:customStyle="1" w:styleId="CitaCar">
    <w:name w:val="Cita Car"/>
    <w:basedOn w:val="Fuentedeprrafopredeter"/>
    <w:link w:val="Cita"/>
    <w:uiPriority w:val="29"/>
    <w:rsid w:val="00BB4C5A"/>
    <w:rPr>
      <w:i/>
      <w:iCs/>
      <w:color w:val="404040" w:themeColor="text1" w:themeTint="BF"/>
    </w:rPr>
  </w:style>
  <w:style w:type="paragraph" w:styleId="Prrafodelista">
    <w:name w:val="List Paragraph"/>
    <w:basedOn w:val="Normal"/>
    <w:uiPriority w:val="34"/>
    <w:qFormat/>
    <w:rsid w:val="00BB4C5A"/>
    <w:pPr>
      <w:ind w:left="720"/>
      <w:contextualSpacing/>
    </w:pPr>
  </w:style>
  <w:style w:type="character" w:styleId="nfasisintenso">
    <w:name w:val="Intense Emphasis"/>
    <w:basedOn w:val="Fuentedeprrafopredeter"/>
    <w:uiPriority w:val="21"/>
    <w:qFormat/>
    <w:rsid w:val="00BB4C5A"/>
    <w:rPr>
      <w:i/>
      <w:iCs/>
      <w:color w:val="0F4761" w:themeColor="accent1" w:themeShade="BF"/>
    </w:rPr>
  </w:style>
  <w:style w:type="paragraph" w:styleId="Citadestacada">
    <w:name w:val="Intense Quote"/>
    <w:basedOn w:val="Normal"/>
    <w:next w:val="Normal"/>
    <w:link w:val="CitadestacadaCar"/>
    <w:uiPriority w:val="30"/>
    <w:qFormat/>
    <w:rsid w:val="00BB4C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B4C5A"/>
    <w:rPr>
      <w:i/>
      <w:iCs/>
      <w:color w:val="0F4761" w:themeColor="accent1" w:themeShade="BF"/>
    </w:rPr>
  </w:style>
  <w:style w:type="character" w:styleId="Referenciaintensa">
    <w:name w:val="Intense Reference"/>
    <w:basedOn w:val="Fuentedeprrafopredeter"/>
    <w:uiPriority w:val="32"/>
    <w:qFormat/>
    <w:rsid w:val="00BB4C5A"/>
    <w:rPr>
      <w:b/>
      <w:bCs/>
      <w:smallCaps/>
      <w:color w:val="0F4761" w:themeColor="accent1" w:themeShade="BF"/>
      <w:spacing w:val="5"/>
    </w:rPr>
  </w:style>
  <w:style w:type="paragraph" w:styleId="Encabezado">
    <w:name w:val="header"/>
    <w:basedOn w:val="Normal"/>
    <w:link w:val="EncabezadoCar"/>
    <w:uiPriority w:val="99"/>
    <w:unhideWhenUsed/>
    <w:rsid w:val="00BB4C5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B4C5A"/>
  </w:style>
  <w:style w:type="paragraph" w:styleId="Piedepgina">
    <w:name w:val="footer"/>
    <w:basedOn w:val="Normal"/>
    <w:link w:val="PiedepginaCar"/>
    <w:uiPriority w:val="99"/>
    <w:unhideWhenUsed/>
    <w:rsid w:val="00BB4C5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B4C5A"/>
  </w:style>
  <w:style w:type="character" w:styleId="Hipervnculo">
    <w:name w:val="Hyperlink"/>
    <w:uiPriority w:val="99"/>
    <w:unhideWhenUsed/>
    <w:rsid w:val="00BB4C5A"/>
    <w:rPr>
      <w:color w:val="0000FF"/>
      <w:u w:val="single"/>
    </w:rPr>
  </w:style>
  <w:style w:type="table" w:styleId="Tablaconcuadrcula">
    <w:name w:val="Table Grid"/>
    <w:basedOn w:val="Tablanormal"/>
    <w:uiPriority w:val="39"/>
    <w:rsid w:val="00BB4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0">
    <w:name w:val="Font Style60"/>
    <w:uiPriority w:val="99"/>
    <w:rsid w:val="00542CC0"/>
    <w:rPr>
      <w:rFonts w:ascii="Calibri" w:hAnsi="Calibri" w:cs="Calibri"/>
      <w:sz w:val="16"/>
      <w:szCs w:val="16"/>
    </w:rPr>
  </w:style>
  <w:style w:type="paragraph" w:styleId="Sinespaciado">
    <w:name w:val="No Spacing"/>
    <w:uiPriority w:val="1"/>
    <w:qFormat/>
    <w:rsid w:val="00542CC0"/>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oomulsap.com" TargetMode="External"/><Relationship Id="rId1" Type="http://schemas.openxmlformats.org/officeDocument/2006/relationships/hyperlink" Target="https://cooperativo.edu.co/port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753</Words>
  <Characters>4143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Suanny Yiseth Cordoba Romaña</dc:creator>
  <cp:keywords/>
  <dc:description/>
  <cp:lastModifiedBy>Suanny Yiseth Cordoba Romaña</cp:lastModifiedBy>
  <cp:revision>4</cp:revision>
  <dcterms:created xsi:type="dcterms:W3CDTF">2026-08-20T13:01:00Z</dcterms:created>
  <dcterms:modified xsi:type="dcterms:W3CDTF">2026-08-20T23:36:00Z</dcterms:modified>
</cp:coreProperties>
</file>